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A08AC" w14:textId="77777777" w:rsidR="00AF24CE" w:rsidRPr="00AF24CE" w:rsidRDefault="00AF24CE" w:rsidP="00AF24CE">
      <w:pPr>
        <w:jc w:val="center"/>
        <w:rPr>
          <w:rFonts w:asciiTheme="minorHAnsi" w:hAnsiTheme="minorHAnsi"/>
          <w:b/>
          <w:szCs w:val="28"/>
          <w:u w:val="single"/>
        </w:rPr>
      </w:pPr>
      <w:r w:rsidRPr="00AF24CE">
        <w:rPr>
          <w:rFonts w:asciiTheme="minorHAnsi" w:hAnsiTheme="minorHAnsi"/>
          <w:b/>
          <w:szCs w:val="28"/>
          <w:u w:val="single"/>
        </w:rPr>
        <w:t>TERMO DE REFERÊNCIA PARA CRITÉRIO LOCACIONAL</w:t>
      </w:r>
    </w:p>
    <w:p w14:paraId="1D6DB8C6" w14:textId="77777777" w:rsidR="00AF24CE" w:rsidRPr="00AF24CE" w:rsidRDefault="00AF24CE" w:rsidP="00E517AD">
      <w:pPr>
        <w:jc w:val="center"/>
        <w:rPr>
          <w:rFonts w:asciiTheme="minorHAnsi" w:hAnsiTheme="minorHAnsi" w:cs="Arial"/>
          <w:b/>
          <w:szCs w:val="28"/>
        </w:rPr>
      </w:pPr>
    </w:p>
    <w:p w14:paraId="3D01BFE2" w14:textId="1CFB9AC2" w:rsidR="00E517AD" w:rsidRPr="00AF24CE" w:rsidRDefault="00E517AD" w:rsidP="00E517AD">
      <w:pPr>
        <w:jc w:val="center"/>
        <w:rPr>
          <w:rFonts w:asciiTheme="minorHAnsi" w:hAnsiTheme="minorHAnsi" w:cs="Arial"/>
          <w:b/>
          <w:szCs w:val="28"/>
        </w:rPr>
      </w:pPr>
      <w:r w:rsidRPr="00AF24CE">
        <w:rPr>
          <w:rFonts w:asciiTheme="minorHAnsi" w:hAnsiTheme="minorHAnsi" w:cs="Arial"/>
          <w:b/>
          <w:szCs w:val="28"/>
        </w:rPr>
        <w:t>Estudo de Interferência para empreendimentos com Captação de água superficial em Área de Conflito por uso de recursos hídricos.</w:t>
      </w:r>
    </w:p>
    <w:p w14:paraId="75462939" w14:textId="25B351F4" w:rsidR="00E517AD" w:rsidRPr="00AF24CE" w:rsidRDefault="00E517AD" w:rsidP="00E517AD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500BE04" w14:textId="77777777" w:rsidR="00614062" w:rsidRPr="00AF24CE" w:rsidRDefault="00614062" w:rsidP="00E517AD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AE8C5FD" w14:textId="77777777" w:rsidR="00E517AD" w:rsidRPr="00AF24CE" w:rsidRDefault="00E517AD" w:rsidP="00E517AD">
      <w:pPr>
        <w:pStyle w:val="PargrafodaLista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="Arial"/>
          <w:b/>
          <w:u w:val="single"/>
        </w:rPr>
      </w:pPr>
      <w:r w:rsidRPr="00AF24CE">
        <w:rPr>
          <w:rFonts w:asciiTheme="minorHAnsi" w:hAnsiTheme="minorHAnsi" w:cs="Arial"/>
          <w:b/>
          <w:u w:val="single"/>
        </w:rPr>
        <w:t>Introdução</w:t>
      </w:r>
    </w:p>
    <w:p w14:paraId="18867566" w14:textId="77777777" w:rsidR="00614062" w:rsidRPr="00AF24CE" w:rsidRDefault="00614062" w:rsidP="00614062">
      <w:pPr>
        <w:pStyle w:val="PargrafodaLista"/>
        <w:spacing w:after="160" w:line="259" w:lineRule="auto"/>
        <w:jc w:val="both"/>
        <w:rPr>
          <w:rFonts w:asciiTheme="minorHAnsi" w:hAnsiTheme="minorHAnsi" w:cs="Arial"/>
          <w:b/>
          <w:u w:val="single"/>
        </w:rPr>
      </w:pPr>
    </w:p>
    <w:p w14:paraId="0F003D4D" w14:textId="20D8EE94" w:rsidR="00E517AD" w:rsidRPr="00AF24CE" w:rsidRDefault="00E517AD" w:rsidP="00E517AD">
      <w:pPr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AF24CE">
        <w:rPr>
          <w:rFonts w:asciiTheme="minorHAnsi" w:hAnsiTheme="minorHAnsi" w:cs="Arial"/>
          <w:sz w:val="22"/>
          <w:szCs w:val="22"/>
        </w:rPr>
        <w:t>A Deliberação Normativa COPAM</w:t>
      </w:r>
      <w:proofErr w:type="gramEnd"/>
      <w:r w:rsidRPr="00AF24CE">
        <w:rPr>
          <w:rFonts w:asciiTheme="minorHAnsi" w:hAnsiTheme="minorHAnsi" w:cs="Arial"/>
          <w:sz w:val="22"/>
          <w:szCs w:val="22"/>
        </w:rPr>
        <w:t xml:space="preserve"> </w:t>
      </w:r>
      <w:r w:rsidR="002B5CE6" w:rsidRPr="00AF24CE">
        <w:rPr>
          <w:rFonts w:asciiTheme="minorHAnsi" w:hAnsiTheme="minorHAnsi" w:cs="Arial"/>
          <w:sz w:val="22"/>
          <w:szCs w:val="22"/>
        </w:rPr>
        <w:t>n</w:t>
      </w:r>
      <w:r w:rsidRPr="00AF24CE">
        <w:rPr>
          <w:rFonts w:asciiTheme="minorHAnsi" w:hAnsiTheme="minorHAnsi" w:cs="Arial"/>
          <w:sz w:val="22"/>
          <w:szCs w:val="22"/>
        </w:rPr>
        <w:t xml:space="preserve">º 217/2017 </w:t>
      </w:r>
      <w:r w:rsidR="00614062" w:rsidRPr="00AF24CE">
        <w:rPr>
          <w:rFonts w:asciiTheme="minorHAnsi" w:hAnsiTheme="minorHAnsi" w:cs="Arial"/>
          <w:sz w:val="22"/>
          <w:szCs w:val="22"/>
        </w:rPr>
        <w:t>estabelece,</w:t>
      </w:r>
      <w:r w:rsidRPr="00AF24CE">
        <w:rPr>
          <w:rFonts w:asciiTheme="minorHAnsi" w:hAnsiTheme="minorHAnsi" w:cs="Arial"/>
          <w:sz w:val="22"/>
          <w:szCs w:val="22"/>
        </w:rPr>
        <w:t xml:space="preserve"> em sua </w:t>
      </w:r>
      <w:r w:rsidR="00614062" w:rsidRPr="00AF24CE">
        <w:rPr>
          <w:rFonts w:asciiTheme="minorHAnsi" w:hAnsiTheme="minorHAnsi" w:cs="Arial"/>
          <w:sz w:val="22"/>
          <w:szCs w:val="22"/>
        </w:rPr>
        <w:t>T</w:t>
      </w:r>
      <w:r w:rsidRPr="00AF24CE">
        <w:rPr>
          <w:rFonts w:asciiTheme="minorHAnsi" w:hAnsiTheme="minorHAnsi" w:cs="Arial"/>
          <w:sz w:val="22"/>
          <w:szCs w:val="22"/>
        </w:rPr>
        <w:t>abela 4</w:t>
      </w:r>
      <w:r w:rsidR="00614062" w:rsidRPr="00AF24CE">
        <w:rPr>
          <w:rFonts w:asciiTheme="minorHAnsi" w:hAnsiTheme="minorHAnsi" w:cs="Arial"/>
          <w:sz w:val="22"/>
          <w:szCs w:val="22"/>
        </w:rPr>
        <w:t>,</w:t>
      </w:r>
      <w:r w:rsidRPr="00AF24CE">
        <w:rPr>
          <w:rFonts w:asciiTheme="minorHAnsi" w:hAnsiTheme="minorHAnsi" w:cs="Arial"/>
          <w:sz w:val="22"/>
          <w:szCs w:val="22"/>
        </w:rPr>
        <w:t xml:space="preserve"> </w:t>
      </w:r>
      <w:r w:rsidR="00614062" w:rsidRPr="00AF24CE">
        <w:rPr>
          <w:rFonts w:asciiTheme="minorHAnsi" w:hAnsiTheme="minorHAnsi" w:cs="Arial"/>
          <w:sz w:val="22"/>
          <w:szCs w:val="22"/>
        </w:rPr>
        <w:t>o</w:t>
      </w:r>
      <w:r w:rsidRPr="00AF24CE">
        <w:rPr>
          <w:rFonts w:asciiTheme="minorHAnsi" w:hAnsiTheme="minorHAnsi" w:cs="Arial"/>
          <w:sz w:val="22"/>
          <w:szCs w:val="22"/>
        </w:rPr>
        <w:t>s critérios locacionais para o enquadramento de empreendimentos passíveis de regularização ambiental.</w:t>
      </w:r>
    </w:p>
    <w:p w14:paraId="0F9D21F0" w14:textId="77777777" w:rsidR="000A2F21" w:rsidRPr="00AF24CE" w:rsidRDefault="000A2F21" w:rsidP="00E517AD">
      <w:pPr>
        <w:jc w:val="both"/>
        <w:rPr>
          <w:rFonts w:asciiTheme="minorHAnsi" w:hAnsiTheme="minorHAnsi" w:cs="Arial"/>
          <w:sz w:val="22"/>
          <w:szCs w:val="22"/>
        </w:rPr>
      </w:pPr>
    </w:p>
    <w:p w14:paraId="173C63E7" w14:textId="0C418F32" w:rsidR="00E517AD" w:rsidRPr="00AF24CE" w:rsidRDefault="00E517AD" w:rsidP="00E517AD">
      <w:pPr>
        <w:jc w:val="both"/>
        <w:rPr>
          <w:rFonts w:asciiTheme="minorHAnsi" w:hAnsiTheme="minorHAnsi" w:cs="Arial"/>
          <w:sz w:val="22"/>
          <w:szCs w:val="22"/>
        </w:rPr>
      </w:pPr>
      <w:r w:rsidRPr="00AF24CE">
        <w:rPr>
          <w:rFonts w:asciiTheme="minorHAnsi" w:hAnsiTheme="minorHAnsi" w:cs="Arial"/>
          <w:sz w:val="22"/>
          <w:szCs w:val="22"/>
        </w:rPr>
        <w:t xml:space="preserve">O critério abaixo relacionado se refere à localização do empreendimento com relação às áreas declaradas de conflito pelo uso de recursos </w:t>
      </w:r>
      <w:r w:rsidR="00614062" w:rsidRPr="00AF24CE">
        <w:rPr>
          <w:rFonts w:asciiTheme="minorHAnsi" w:hAnsiTheme="minorHAnsi" w:cs="Arial"/>
          <w:sz w:val="22"/>
          <w:szCs w:val="22"/>
        </w:rPr>
        <w:t>hídricos.</w:t>
      </w:r>
    </w:p>
    <w:p w14:paraId="53DF39A9" w14:textId="77777777" w:rsidR="00E517AD" w:rsidRPr="00AF24CE" w:rsidRDefault="00E517AD" w:rsidP="00E517AD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7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134"/>
      </w:tblGrid>
      <w:tr w:rsidR="00E517AD" w:rsidRPr="00AF24CE" w14:paraId="5F0B6CF4" w14:textId="77777777" w:rsidTr="00614062">
        <w:trPr>
          <w:trHeight w:val="607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5FDA" w14:textId="4807CF28" w:rsidR="00E517AD" w:rsidRPr="00AF24CE" w:rsidRDefault="000A2F21" w:rsidP="005568D0">
            <w:pPr>
              <w:spacing w:after="24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F24C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Critério Locacional</w:t>
            </w:r>
            <w:r w:rsidR="00E517AD" w:rsidRPr="00AF24C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de Enquadramento</w:t>
            </w:r>
            <w:r w:rsidRPr="00AF24C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previsto</w:t>
            </w:r>
            <w:r w:rsidR="00E517AD" w:rsidRPr="00AF24C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pela DN COPAM 217/2017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6D3E3" w14:textId="77777777" w:rsidR="00E517AD" w:rsidRPr="00AF24CE" w:rsidRDefault="00E517AD" w:rsidP="005568D0">
            <w:pPr>
              <w:spacing w:after="24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F24C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Peso</w:t>
            </w:r>
          </w:p>
        </w:tc>
      </w:tr>
      <w:tr w:rsidR="00E517AD" w:rsidRPr="00AF24CE" w14:paraId="2E99B69F" w14:textId="77777777" w:rsidTr="00614062">
        <w:trPr>
          <w:trHeight w:val="543"/>
        </w:trPr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148DB" w14:textId="1D068749" w:rsidR="00E517AD" w:rsidRPr="00AF24CE" w:rsidRDefault="00E517AD" w:rsidP="000A2F2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AF24CE">
              <w:rPr>
                <w:rFonts w:asciiTheme="minorHAnsi" w:hAnsiTheme="minorHAnsi" w:cs="Arial"/>
                <w:sz w:val="22"/>
                <w:szCs w:val="22"/>
                <w:lang w:eastAsia="en-US"/>
              </w:rPr>
              <w:t>Captação de água superficial em Área de Confli</w:t>
            </w:r>
            <w:r w:rsidR="000A2F21" w:rsidRPr="00AF24CE">
              <w:rPr>
                <w:rFonts w:asciiTheme="minorHAnsi" w:hAnsiTheme="minorHAnsi" w:cs="Arial"/>
                <w:sz w:val="22"/>
                <w:szCs w:val="22"/>
                <w:lang w:eastAsia="en-US"/>
              </w:rPr>
              <w:t>to por uso de recursos hídricos.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4BBA5" w14:textId="77777777" w:rsidR="00E517AD" w:rsidRPr="00AF24CE" w:rsidRDefault="00E517AD" w:rsidP="005568D0">
            <w:pPr>
              <w:spacing w:line="230" w:lineRule="atLeas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F24C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  <w:p w14:paraId="279F8ABA" w14:textId="77777777" w:rsidR="00E517AD" w:rsidRPr="00AF24CE" w:rsidRDefault="00E517AD" w:rsidP="005568D0">
            <w:pPr>
              <w:spacing w:line="230" w:lineRule="atLeas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F24C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</w:tbl>
    <w:p w14:paraId="1CABE5E1" w14:textId="77777777" w:rsidR="00E517AD" w:rsidRPr="00AF24CE" w:rsidRDefault="00E517AD" w:rsidP="00E517AD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2791059" w14:textId="77777777" w:rsidR="000A2F21" w:rsidRPr="00AF24CE" w:rsidRDefault="000A2F21" w:rsidP="000A2F21">
      <w:pPr>
        <w:pStyle w:val="PargrafodaLista"/>
        <w:numPr>
          <w:ilvl w:val="0"/>
          <w:numId w:val="3"/>
        </w:numPr>
        <w:spacing w:after="160" w:line="259" w:lineRule="auto"/>
        <w:ind w:left="284"/>
        <w:jc w:val="both"/>
        <w:rPr>
          <w:rFonts w:asciiTheme="minorHAnsi" w:hAnsiTheme="minorHAnsi" w:cs="Arial"/>
          <w:b/>
          <w:u w:val="single"/>
        </w:rPr>
      </w:pPr>
      <w:r w:rsidRPr="00AF24CE">
        <w:rPr>
          <w:rFonts w:asciiTheme="minorHAnsi" w:hAnsiTheme="minorHAnsi" w:cs="Arial"/>
          <w:b/>
          <w:u w:val="single"/>
        </w:rPr>
        <w:t>Caracterização dos critérios locacionais definidos pela DN COPAM 217 e objeto do Termo de Referência</w:t>
      </w:r>
    </w:p>
    <w:p w14:paraId="79528AA4" w14:textId="77777777" w:rsidR="00614062" w:rsidRPr="00AF24CE" w:rsidRDefault="00614062" w:rsidP="00614062">
      <w:pPr>
        <w:pStyle w:val="PargrafodaLista"/>
        <w:spacing w:after="160" w:line="259" w:lineRule="auto"/>
        <w:ind w:left="284"/>
        <w:jc w:val="both"/>
        <w:rPr>
          <w:rFonts w:asciiTheme="minorHAnsi" w:hAnsiTheme="minorHAnsi" w:cs="Arial"/>
          <w:b/>
          <w:u w:val="single"/>
        </w:rPr>
      </w:pPr>
    </w:p>
    <w:p w14:paraId="4730D07C" w14:textId="3F21A2B0" w:rsidR="000A2F21" w:rsidRPr="00AF24CE" w:rsidRDefault="000A2F21" w:rsidP="000A2F21">
      <w:pPr>
        <w:spacing w:after="160" w:line="259" w:lineRule="auto"/>
        <w:ind w:left="720"/>
        <w:jc w:val="both"/>
        <w:rPr>
          <w:rFonts w:asciiTheme="minorHAnsi" w:hAnsiTheme="minorHAnsi" w:cs="Arial"/>
          <w:b/>
          <w:sz w:val="22"/>
          <w:szCs w:val="22"/>
        </w:rPr>
      </w:pPr>
      <w:r w:rsidRPr="00AF24CE">
        <w:rPr>
          <w:rFonts w:asciiTheme="minorHAnsi" w:hAnsiTheme="minorHAnsi" w:cs="Arial"/>
          <w:b/>
          <w:sz w:val="22"/>
          <w:szCs w:val="22"/>
        </w:rPr>
        <w:t>2.1 Considerações</w:t>
      </w:r>
      <w:r w:rsidR="007C56D1" w:rsidRPr="00AF24CE">
        <w:rPr>
          <w:rFonts w:asciiTheme="minorHAnsi" w:hAnsiTheme="minorHAnsi" w:cs="Arial"/>
          <w:b/>
          <w:sz w:val="22"/>
          <w:szCs w:val="22"/>
        </w:rPr>
        <w:t xml:space="preserve"> sobre a declaração de área de conflito </w:t>
      </w:r>
      <w:r w:rsidR="00614062" w:rsidRPr="00AF24CE">
        <w:rPr>
          <w:rFonts w:asciiTheme="minorHAnsi" w:hAnsiTheme="minorHAnsi" w:cs="Arial"/>
          <w:b/>
          <w:sz w:val="22"/>
          <w:szCs w:val="22"/>
        </w:rPr>
        <w:t>–</w:t>
      </w:r>
      <w:r w:rsidR="007C56D1" w:rsidRPr="00AF24CE">
        <w:rPr>
          <w:rFonts w:asciiTheme="minorHAnsi" w:hAnsiTheme="minorHAnsi" w:cs="Arial"/>
          <w:b/>
          <w:sz w:val="22"/>
          <w:szCs w:val="22"/>
        </w:rPr>
        <w:t xml:space="preserve"> DAC</w:t>
      </w:r>
    </w:p>
    <w:p w14:paraId="64D3AF28" w14:textId="77777777" w:rsidR="007B5562" w:rsidRPr="00AF24CE" w:rsidRDefault="007B5562" w:rsidP="007B5562">
      <w:pPr>
        <w:jc w:val="both"/>
        <w:rPr>
          <w:rFonts w:asciiTheme="minorHAnsi" w:hAnsiTheme="minorHAnsi" w:cs="Arial"/>
          <w:sz w:val="22"/>
          <w:szCs w:val="22"/>
        </w:rPr>
      </w:pPr>
      <w:r w:rsidRPr="00AF24CE">
        <w:rPr>
          <w:rFonts w:asciiTheme="minorHAnsi" w:hAnsiTheme="minorHAnsi" w:cs="Arial"/>
          <w:sz w:val="22"/>
          <w:szCs w:val="22"/>
        </w:rPr>
        <w:t>A Portaria IGAM nº 26/2007, aprova a Nota Técnica de Procedimento nº 07, de 10 de outubro de 2006, a qual define os procedimentos para emissão da Declaração de Área de Conflito – DAC e trata do processo único de outorga de direito de uso dos recursos hídricos, popularmente denominado como outorga coletiva. (IGAM, 2010).</w:t>
      </w:r>
    </w:p>
    <w:p w14:paraId="27F380BA" w14:textId="77777777" w:rsidR="007B5562" w:rsidRPr="00AF24CE" w:rsidRDefault="007B5562" w:rsidP="007B5562">
      <w:pPr>
        <w:jc w:val="both"/>
        <w:rPr>
          <w:rFonts w:asciiTheme="minorHAnsi" w:hAnsiTheme="minorHAnsi" w:cs="Arial"/>
          <w:color w:val="0070C0"/>
          <w:sz w:val="22"/>
          <w:szCs w:val="22"/>
        </w:rPr>
      </w:pPr>
    </w:p>
    <w:p w14:paraId="439E2853" w14:textId="77777777" w:rsidR="007B5562" w:rsidRPr="00AF24CE" w:rsidRDefault="007B5562" w:rsidP="007B5562">
      <w:pPr>
        <w:jc w:val="both"/>
        <w:rPr>
          <w:rFonts w:asciiTheme="minorHAnsi" w:hAnsiTheme="minorHAnsi" w:cs="Arial"/>
          <w:sz w:val="22"/>
          <w:szCs w:val="22"/>
        </w:rPr>
      </w:pPr>
      <w:r w:rsidRPr="00AF24CE">
        <w:rPr>
          <w:rFonts w:asciiTheme="minorHAnsi" w:hAnsiTheme="minorHAnsi" w:cs="Arial"/>
          <w:sz w:val="22"/>
          <w:szCs w:val="22"/>
        </w:rPr>
        <w:t>A outorga coletiva é um ato administrativo autorizativo a ser concedido a um número determinado de usuários, localizados em área de conflito, devido à escassez dos recursos hídricos. Assim, os procedimentos diferenciados para obtenção da outorga coletiva podem ser regulamentados administrativamente, independentemente de alterações na lei vigente - Lei Estadual 13.199/1999.</w:t>
      </w:r>
    </w:p>
    <w:p w14:paraId="257DE04E" w14:textId="77777777" w:rsidR="007B5562" w:rsidRPr="00AF24CE" w:rsidRDefault="007B5562" w:rsidP="007B5562">
      <w:pPr>
        <w:jc w:val="both"/>
        <w:rPr>
          <w:rFonts w:asciiTheme="minorHAnsi" w:hAnsiTheme="minorHAnsi" w:cs="Arial"/>
          <w:color w:val="0070C0"/>
          <w:sz w:val="22"/>
          <w:szCs w:val="22"/>
        </w:rPr>
      </w:pPr>
    </w:p>
    <w:p w14:paraId="6912D63E" w14:textId="77777777" w:rsidR="007B5562" w:rsidRPr="00AF24CE" w:rsidRDefault="007B5562" w:rsidP="007B5562">
      <w:pPr>
        <w:jc w:val="both"/>
        <w:rPr>
          <w:rFonts w:asciiTheme="minorHAnsi" w:hAnsiTheme="minorHAnsi" w:cs="Arial"/>
          <w:sz w:val="22"/>
          <w:szCs w:val="22"/>
        </w:rPr>
      </w:pPr>
      <w:r w:rsidRPr="00AF24CE">
        <w:rPr>
          <w:rFonts w:asciiTheme="minorHAnsi" w:hAnsiTheme="minorHAnsi" w:cs="Arial"/>
          <w:sz w:val="22"/>
          <w:szCs w:val="22"/>
        </w:rPr>
        <w:t>Para Cardoso (2014), a alocação negociada de água tem como objetivo aprimorar a gestão de recursos hídricos. Os usuários de água, de forma orientada pelo órgão gestor de recursos hídricos, decidem o nível de alocação e o nível de risco que querem correr em relação ao uso da água, ou seja, o órgão gestor de recursos hídricos deixa uma situação em que tem o comando direto, pode ou não pode usar o recurso hídrico, para o campo da negociação, com envolvimento dos usuários que tomam parte do processo de alocação de água.</w:t>
      </w:r>
    </w:p>
    <w:p w14:paraId="12B1F46C" w14:textId="77777777" w:rsidR="007B5562" w:rsidRPr="00AF24CE" w:rsidRDefault="007B5562" w:rsidP="007B5562">
      <w:pPr>
        <w:jc w:val="both"/>
        <w:rPr>
          <w:rFonts w:asciiTheme="minorHAnsi" w:hAnsiTheme="minorHAnsi" w:cs="Arial"/>
          <w:color w:val="0070C0"/>
          <w:sz w:val="22"/>
          <w:szCs w:val="22"/>
        </w:rPr>
      </w:pPr>
    </w:p>
    <w:p w14:paraId="4FFA9C4A" w14:textId="77777777" w:rsidR="007B5562" w:rsidRPr="00AF24CE" w:rsidRDefault="007B5562" w:rsidP="007B5562">
      <w:pPr>
        <w:jc w:val="both"/>
        <w:rPr>
          <w:rFonts w:asciiTheme="minorHAnsi" w:hAnsiTheme="minorHAnsi" w:cs="Arial"/>
          <w:sz w:val="22"/>
          <w:szCs w:val="22"/>
        </w:rPr>
      </w:pPr>
      <w:r w:rsidRPr="00AF24CE">
        <w:rPr>
          <w:rFonts w:asciiTheme="minorHAnsi" w:hAnsiTheme="minorHAnsi" w:cs="Arial"/>
          <w:sz w:val="22"/>
          <w:szCs w:val="22"/>
        </w:rPr>
        <w:t xml:space="preserve">Contudo, é importante mencionar que para o gerenciamento dos recursos hídricos de forma mais efetiva e com resultados focados na melhoria da qualidade e quantidade das águas de uma bacia hidrográfica é necessário analisar o empreendimento em sua totalidade, efetivando não só a outorga de direito de uso do recurso hídrico, bem como a gestão ambiental ativa dos projetos de desenvolvimento. Para isso, devem ser previstas no processo de licenciamento ambiental, ferramentas de gestão capazes de garantir que as medidas mitigadoras e compensatórias previstas </w:t>
      </w:r>
      <w:r w:rsidRPr="00AF24CE">
        <w:rPr>
          <w:rFonts w:asciiTheme="minorHAnsi" w:hAnsiTheme="minorHAnsi" w:cs="Arial"/>
          <w:sz w:val="22"/>
          <w:szCs w:val="22"/>
        </w:rPr>
        <w:lastRenderedPageBreak/>
        <w:t>na fase de aprovação da viabilidade ambiental do projeto, sejam efetivamente implementadas durante a implantação e operação do empreendimento.</w:t>
      </w:r>
    </w:p>
    <w:p w14:paraId="5C4AA08B" w14:textId="77777777" w:rsidR="007B5562" w:rsidRPr="00AF24CE" w:rsidRDefault="007B5562" w:rsidP="007B5562">
      <w:pPr>
        <w:jc w:val="both"/>
        <w:rPr>
          <w:rFonts w:asciiTheme="minorHAnsi" w:hAnsiTheme="minorHAnsi" w:cs="Arial"/>
          <w:color w:val="0070C0"/>
          <w:sz w:val="22"/>
          <w:szCs w:val="22"/>
        </w:rPr>
      </w:pPr>
    </w:p>
    <w:p w14:paraId="1999EA0B" w14:textId="671D9057" w:rsidR="007C56D1" w:rsidRPr="00AF24CE" w:rsidRDefault="007C56D1" w:rsidP="000A2F21">
      <w:pPr>
        <w:spacing w:after="160" w:line="259" w:lineRule="auto"/>
        <w:ind w:left="720"/>
        <w:jc w:val="both"/>
        <w:rPr>
          <w:rFonts w:asciiTheme="minorHAnsi" w:hAnsiTheme="minorHAnsi" w:cs="Arial"/>
          <w:b/>
          <w:sz w:val="22"/>
          <w:szCs w:val="22"/>
        </w:rPr>
      </w:pPr>
      <w:r w:rsidRPr="00AF24CE">
        <w:rPr>
          <w:rFonts w:asciiTheme="minorHAnsi" w:hAnsiTheme="minorHAnsi" w:cs="Arial"/>
          <w:b/>
          <w:sz w:val="22"/>
          <w:szCs w:val="22"/>
        </w:rPr>
        <w:t>2.2 Orientações gerais sobre os estudos a serem apresentados</w:t>
      </w:r>
    </w:p>
    <w:p w14:paraId="3598EF52" w14:textId="0DA2AEEF" w:rsidR="007C56D1" w:rsidRPr="00AF24CE" w:rsidRDefault="007C56D1" w:rsidP="007C56D1">
      <w:pPr>
        <w:jc w:val="both"/>
        <w:rPr>
          <w:rFonts w:asciiTheme="minorHAnsi" w:hAnsiTheme="minorHAnsi" w:cs="Arial"/>
          <w:sz w:val="22"/>
          <w:szCs w:val="22"/>
        </w:rPr>
      </w:pPr>
      <w:r w:rsidRPr="00AF24CE">
        <w:rPr>
          <w:rFonts w:asciiTheme="minorHAnsi" w:hAnsiTheme="minorHAnsi" w:cs="Arial"/>
          <w:sz w:val="22"/>
          <w:szCs w:val="22"/>
        </w:rPr>
        <w:t xml:space="preserve">Os estudos devem ser realizados por profissionais legalmente habilitados, devendo ser anexadas ao mesmo as Anotações de Responsabilidade Técnica - </w:t>
      </w:r>
      <w:proofErr w:type="spellStart"/>
      <w:r w:rsidRPr="00AF24CE">
        <w:rPr>
          <w:rFonts w:asciiTheme="minorHAnsi" w:hAnsiTheme="minorHAnsi" w:cs="Arial"/>
          <w:sz w:val="22"/>
          <w:szCs w:val="22"/>
        </w:rPr>
        <w:t>ARTs</w:t>
      </w:r>
      <w:proofErr w:type="spellEnd"/>
      <w:r w:rsidRPr="00AF24CE">
        <w:rPr>
          <w:rFonts w:asciiTheme="minorHAnsi" w:hAnsiTheme="minorHAnsi" w:cs="Arial"/>
          <w:sz w:val="22"/>
          <w:szCs w:val="22"/>
        </w:rPr>
        <w:t xml:space="preserve"> dos profissionais responsáveis. Os dados primários e/ou de dados secundários devem ser devidamente referenciados.</w:t>
      </w:r>
    </w:p>
    <w:p w14:paraId="65451EAD" w14:textId="717BCDF4" w:rsidR="007C56D1" w:rsidRPr="00AF24CE" w:rsidRDefault="007C56D1" w:rsidP="007C56D1">
      <w:pPr>
        <w:jc w:val="both"/>
        <w:rPr>
          <w:rFonts w:asciiTheme="minorHAnsi" w:hAnsiTheme="minorHAnsi" w:cs="Arial"/>
          <w:sz w:val="22"/>
          <w:szCs w:val="22"/>
        </w:rPr>
      </w:pPr>
    </w:p>
    <w:p w14:paraId="2F2A3386" w14:textId="77777777" w:rsidR="007C56D1" w:rsidRPr="00AF24CE" w:rsidRDefault="007C56D1" w:rsidP="007C56D1">
      <w:pPr>
        <w:jc w:val="both"/>
        <w:rPr>
          <w:rFonts w:asciiTheme="minorHAnsi" w:hAnsiTheme="minorHAnsi" w:cs="Arial"/>
          <w:sz w:val="22"/>
          <w:szCs w:val="22"/>
        </w:rPr>
      </w:pPr>
      <w:r w:rsidRPr="00AF24CE">
        <w:rPr>
          <w:rFonts w:asciiTheme="minorHAnsi" w:hAnsiTheme="minorHAnsi" w:cs="Arial"/>
          <w:sz w:val="22"/>
          <w:szCs w:val="22"/>
        </w:rPr>
        <w:t>O Estudo deve apresentar a seguinte estrutura mínima, podendo ser acrescentados tópicos, em função de demanda específica identificada pela equipe de elaboração:</w:t>
      </w:r>
    </w:p>
    <w:p w14:paraId="54340AE2" w14:textId="77777777" w:rsidR="00EC2628" w:rsidRPr="00AF24CE" w:rsidRDefault="00EC2628" w:rsidP="007C56D1">
      <w:pPr>
        <w:jc w:val="both"/>
        <w:rPr>
          <w:rFonts w:asciiTheme="minorHAnsi" w:hAnsiTheme="minorHAnsi" w:cs="Arial"/>
          <w:sz w:val="22"/>
          <w:szCs w:val="22"/>
        </w:rPr>
      </w:pPr>
    </w:p>
    <w:p w14:paraId="652685F1" w14:textId="77777777" w:rsidR="007C56D1" w:rsidRPr="00AF24CE" w:rsidRDefault="007C56D1" w:rsidP="007C56D1">
      <w:pPr>
        <w:pStyle w:val="PargrafodaLista"/>
        <w:numPr>
          <w:ilvl w:val="0"/>
          <w:numId w:val="4"/>
        </w:numPr>
        <w:spacing w:after="0" w:line="259" w:lineRule="auto"/>
        <w:jc w:val="both"/>
        <w:rPr>
          <w:rFonts w:asciiTheme="minorHAnsi" w:hAnsiTheme="minorHAnsi" w:cs="Arial"/>
        </w:rPr>
      </w:pPr>
      <w:r w:rsidRPr="00AF24CE">
        <w:rPr>
          <w:rFonts w:asciiTheme="minorHAnsi" w:hAnsiTheme="minorHAnsi" w:cs="Arial"/>
        </w:rPr>
        <w:t>Identificação do empreendimento e do formulário de orientação básica e/ou processo de regularização (COPAM);</w:t>
      </w:r>
    </w:p>
    <w:p w14:paraId="59353C86" w14:textId="3B56974F" w:rsidR="007C56D1" w:rsidRPr="00AF24CE" w:rsidRDefault="007C56D1" w:rsidP="007C56D1">
      <w:pPr>
        <w:pStyle w:val="PargrafodaLista"/>
        <w:numPr>
          <w:ilvl w:val="0"/>
          <w:numId w:val="4"/>
        </w:numPr>
        <w:spacing w:after="0" w:line="259" w:lineRule="auto"/>
        <w:jc w:val="both"/>
        <w:rPr>
          <w:rFonts w:asciiTheme="minorHAnsi" w:hAnsiTheme="minorHAnsi" w:cs="Arial"/>
        </w:rPr>
      </w:pPr>
      <w:r w:rsidRPr="00AF24CE">
        <w:rPr>
          <w:rFonts w:asciiTheme="minorHAnsi" w:hAnsiTheme="minorHAnsi" w:cs="Arial"/>
        </w:rPr>
        <w:t>Localização do empreendimento com relação ao fator locacional abrangido;</w:t>
      </w:r>
    </w:p>
    <w:p w14:paraId="6A5FB3D9" w14:textId="59F509F3" w:rsidR="007C56D1" w:rsidRPr="00AF24CE" w:rsidRDefault="00AF24CE" w:rsidP="007C56D1">
      <w:pPr>
        <w:pStyle w:val="PargrafodaLista"/>
        <w:numPr>
          <w:ilvl w:val="0"/>
          <w:numId w:val="4"/>
        </w:numPr>
        <w:spacing w:after="0" w:line="259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Conteúdo específico, definido no item 2.3 desse termo de referência</w:t>
      </w:r>
      <w:r w:rsidR="00EA325B" w:rsidRPr="00AF24CE">
        <w:rPr>
          <w:rFonts w:asciiTheme="minorHAnsi" w:hAnsiTheme="minorHAnsi" w:cs="Arial"/>
        </w:rPr>
        <w:t xml:space="preserve">; </w:t>
      </w:r>
    </w:p>
    <w:p w14:paraId="3B5DAF5F" w14:textId="0ED54294" w:rsidR="0083693B" w:rsidRPr="00AF24CE" w:rsidRDefault="0083693B" w:rsidP="007C56D1">
      <w:pPr>
        <w:pStyle w:val="PargrafodaLista"/>
        <w:numPr>
          <w:ilvl w:val="0"/>
          <w:numId w:val="4"/>
        </w:numPr>
        <w:spacing w:after="0" w:line="259" w:lineRule="auto"/>
        <w:jc w:val="both"/>
        <w:rPr>
          <w:rFonts w:asciiTheme="minorHAnsi" w:hAnsiTheme="minorHAnsi" w:cs="Arial"/>
        </w:rPr>
      </w:pPr>
      <w:r w:rsidRPr="00AF24CE">
        <w:rPr>
          <w:rFonts w:asciiTheme="minorHAnsi" w:hAnsiTheme="minorHAnsi" w:cs="Arial"/>
        </w:rPr>
        <w:t xml:space="preserve">Identificação </w:t>
      </w:r>
      <w:proofErr w:type="gramStart"/>
      <w:r w:rsidRPr="00AF24CE">
        <w:rPr>
          <w:rFonts w:asciiTheme="minorHAnsi" w:hAnsiTheme="minorHAnsi" w:cs="Arial"/>
        </w:rPr>
        <w:t>do</w:t>
      </w:r>
      <w:r w:rsidR="006C79E6" w:rsidRPr="00AF24CE">
        <w:rPr>
          <w:rFonts w:asciiTheme="minorHAnsi" w:hAnsiTheme="minorHAnsi" w:cs="Arial"/>
        </w:rPr>
        <w:t>(</w:t>
      </w:r>
      <w:proofErr w:type="gramEnd"/>
      <w:r w:rsidR="006C79E6" w:rsidRPr="00AF24CE">
        <w:rPr>
          <w:rFonts w:asciiTheme="minorHAnsi" w:hAnsiTheme="minorHAnsi" w:cs="Arial"/>
        </w:rPr>
        <w:t>s)</w:t>
      </w:r>
      <w:r w:rsidRPr="00AF24CE">
        <w:rPr>
          <w:rFonts w:asciiTheme="minorHAnsi" w:hAnsiTheme="minorHAnsi" w:cs="Arial"/>
        </w:rPr>
        <w:t xml:space="preserve"> responsável</w:t>
      </w:r>
      <w:r w:rsidR="006C79E6" w:rsidRPr="00AF24CE">
        <w:rPr>
          <w:rFonts w:asciiTheme="minorHAnsi" w:hAnsiTheme="minorHAnsi" w:cs="Arial"/>
        </w:rPr>
        <w:t>(</w:t>
      </w:r>
      <w:proofErr w:type="spellStart"/>
      <w:r w:rsidR="006C79E6" w:rsidRPr="00AF24CE">
        <w:rPr>
          <w:rFonts w:asciiTheme="minorHAnsi" w:hAnsiTheme="minorHAnsi" w:cs="Arial"/>
        </w:rPr>
        <w:t>is</w:t>
      </w:r>
      <w:proofErr w:type="spellEnd"/>
      <w:r w:rsidR="006C79E6" w:rsidRPr="00AF24CE">
        <w:rPr>
          <w:rFonts w:asciiTheme="minorHAnsi" w:hAnsiTheme="minorHAnsi" w:cs="Arial"/>
        </w:rPr>
        <w:t>)</w:t>
      </w:r>
      <w:r w:rsidRPr="00AF24CE">
        <w:rPr>
          <w:rFonts w:asciiTheme="minorHAnsi" w:hAnsiTheme="minorHAnsi" w:cs="Arial"/>
        </w:rPr>
        <w:t xml:space="preserve"> pela elaboração do estudo</w:t>
      </w:r>
      <w:r w:rsidR="006C79E6" w:rsidRPr="00AF24CE">
        <w:rPr>
          <w:rFonts w:asciiTheme="minorHAnsi" w:hAnsiTheme="minorHAnsi" w:cs="Arial"/>
        </w:rPr>
        <w:t>;</w:t>
      </w:r>
    </w:p>
    <w:p w14:paraId="2F027F43" w14:textId="77777777" w:rsidR="007C56D1" w:rsidRPr="00AF24CE" w:rsidRDefault="007C56D1" w:rsidP="007C56D1">
      <w:pPr>
        <w:pStyle w:val="PargrafodaLista"/>
        <w:numPr>
          <w:ilvl w:val="0"/>
          <w:numId w:val="4"/>
        </w:numPr>
        <w:spacing w:after="0" w:line="259" w:lineRule="auto"/>
        <w:jc w:val="both"/>
        <w:rPr>
          <w:rFonts w:asciiTheme="minorHAnsi" w:hAnsiTheme="minorHAnsi" w:cs="Arial"/>
        </w:rPr>
      </w:pPr>
      <w:r w:rsidRPr="00AF24CE">
        <w:rPr>
          <w:rFonts w:asciiTheme="minorHAnsi" w:hAnsiTheme="minorHAnsi" w:cs="Arial"/>
        </w:rPr>
        <w:t xml:space="preserve">Referências Bibliográficas. </w:t>
      </w:r>
    </w:p>
    <w:p w14:paraId="63E3244C" w14:textId="77777777" w:rsidR="007C56D1" w:rsidRPr="00AF24CE" w:rsidRDefault="007C56D1" w:rsidP="007C56D1">
      <w:pPr>
        <w:spacing w:after="160" w:line="259" w:lineRule="auto"/>
        <w:ind w:left="360"/>
        <w:jc w:val="both"/>
        <w:rPr>
          <w:rFonts w:asciiTheme="minorHAnsi" w:hAnsiTheme="minorHAnsi" w:cs="Arial"/>
          <w:b/>
          <w:sz w:val="22"/>
          <w:szCs w:val="22"/>
        </w:rPr>
      </w:pPr>
    </w:p>
    <w:p w14:paraId="052C591D" w14:textId="4FA44D21" w:rsidR="007C56D1" w:rsidRPr="00AF24CE" w:rsidRDefault="00614062" w:rsidP="007C56D1">
      <w:pPr>
        <w:spacing w:after="160" w:line="259" w:lineRule="auto"/>
        <w:ind w:left="360"/>
        <w:jc w:val="both"/>
        <w:rPr>
          <w:rFonts w:asciiTheme="minorHAnsi" w:hAnsiTheme="minorHAnsi" w:cs="Arial"/>
          <w:b/>
          <w:sz w:val="22"/>
          <w:szCs w:val="22"/>
        </w:rPr>
      </w:pPr>
      <w:r w:rsidRPr="00AF24CE">
        <w:rPr>
          <w:rFonts w:asciiTheme="minorHAnsi" w:hAnsiTheme="minorHAnsi" w:cs="Arial"/>
          <w:b/>
          <w:sz w:val="22"/>
          <w:szCs w:val="22"/>
        </w:rPr>
        <w:t>2.3</w:t>
      </w:r>
      <w:r w:rsidR="007C56D1" w:rsidRPr="00AF24CE">
        <w:rPr>
          <w:rFonts w:asciiTheme="minorHAnsi" w:hAnsiTheme="minorHAnsi" w:cs="Arial"/>
          <w:b/>
          <w:sz w:val="22"/>
          <w:szCs w:val="22"/>
        </w:rPr>
        <w:t xml:space="preserve"> Estudos </w:t>
      </w:r>
      <w:r w:rsidR="006C79E6" w:rsidRPr="00AF24CE">
        <w:rPr>
          <w:rFonts w:asciiTheme="minorHAnsi" w:hAnsiTheme="minorHAnsi" w:cs="Arial"/>
          <w:b/>
          <w:sz w:val="22"/>
          <w:szCs w:val="22"/>
        </w:rPr>
        <w:t xml:space="preserve">e programas </w:t>
      </w:r>
      <w:r w:rsidR="0083693B" w:rsidRPr="00AF24CE">
        <w:rPr>
          <w:rFonts w:asciiTheme="minorHAnsi" w:hAnsiTheme="minorHAnsi" w:cs="Arial"/>
          <w:b/>
          <w:sz w:val="22"/>
          <w:szCs w:val="22"/>
        </w:rPr>
        <w:t>solicitados</w:t>
      </w:r>
      <w:r w:rsidR="006C79E6" w:rsidRPr="00AF24CE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1EED97DA" w14:textId="6E62FA21" w:rsidR="00C42191" w:rsidRPr="00AF24CE" w:rsidRDefault="00C42191" w:rsidP="00EC2628">
      <w:pPr>
        <w:pStyle w:val="Ttulo1"/>
        <w:spacing w:before="120"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AF24CE">
        <w:rPr>
          <w:rFonts w:asciiTheme="minorHAnsi" w:hAnsiTheme="minorHAnsi" w:cs="Arial"/>
          <w:b w:val="0"/>
          <w:sz w:val="22"/>
          <w:szCs w:val="22"/>
        </w:rPr>
        <w:t xml:space="preserve">Apresentar caracterização das bacias hidrográficas e da rede de drenagem superficial onde se insere o empreendimento, com base em levantamentos de fotos aéreas, mapeamentos e estudos existentes. </w:t>
      </w:r>
    </w:p>
    <w:p w14:paraId="41903B8D" w14:textId="77777777" w:rsidR="00C42191" w:rsidRPr="00AF24CE" w:rsidRDefault="007B5562" w:rsidP="00EC2628">
      <w:pPr>
        <w:pStyle w:val="Ttulo1"/>
        <w:spacing w:before="120"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AF24CE">
        <w:rPr>
          <w:rFonts w:asciiTheme="minorHAnsi" w:hAnsiTheme="minorHAnsi" w:cs="Arial"/>
          <w:b w:val="0"/>
          <w:sz w:val="22"/>
          <w:szCs w:val="22"/>
        </w:rPr>
        <w:t>Indicar e apresentar, em mapa, para a Área de Influência Indireta (AII) do empreendimento, as áreas passíveis de alterações na dinâmica do curso d'água a jusante e montante</w:t>
      </w:r>
      <w:r w:rsidR="00C42191" w:rsidRPr="00AF24CE">
        <w:rPr>
          <w:rFonts w:asciiTheme="minorHAnsi" w:hAnsiTheme="minorHAnsi" w:cs="Arial"/>
          <w:b w:val="0"/>
          <w:sz w:val="22"/>
          <w:szCs w:val="22"/>
        </w:rPr>
        <w:t xml:space="preserve"> do empreendimento. </w:t>
      </w:r>
    </w:p>
    <w:p w14:paraId="04A43CA8" w14:textId="77777777" w:rsidR="007B5562" w:rsidRPr="00AF24CE" w:rsidRDefault="007B5562" w:rsidP="00EC2628">
      <w:pPr>
        <w:pStyle w:val="Ttulo1"/>
        <w:spacing w:before="120"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AF24CE">
        <w:rPr>
          <w:rFonts w:asciiTheme="minorHAnsi" w:hAnsiTheme="minorHAnsi" w:cs="Arial"/>
          <w:b w:val="0"/>
          <w:sz w:val="22"/>
          <w:szCs w:val="22"/>
        </w:rPr>
        <w:t>Informar os usos predominantes das águas na Área de Influência Direta (AID), ou seja, abastecimento público, industrial, irrigação, lazer, proteção de comunidades aquáticas, dessedentação animal, entre outros.</w:t>
      </w:r>
    </w:p>
    <w:p w14:paraId="40986671" w14:textId="77777777" w:rsidR="007B5562" w:rsidRPr="00AF24CE" w:rsidRDefault="007B5562" w:rsidP="00EC2628">
      <w:pPr>
        <w:pStyle w:val="Ttulo1"/>
        <w:spacing w:before="120"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AF24CE">
        <w:rPr>
          <w:rFonts w:asciiTheme="minorHAnsi" w:hAnsiTheme="minorHAnsi" w:cs="Arial"/>
          <w:b w:val="0"/>
          <w:sz w:val="22"/>
          <w:szCs w:val="22"/>
        </w:rPr>
        <w:t>Mapear os pontos de captação de água, além dos pont</w:t>
      </w:r>
      <w:bookmarkStart w:id="0" w:name="_GoBack"/>
      <w:bookmarkEnd w:id="0"/>
      <w:r w:rsidRPr="00AF24CE">
        <w:rPr>
          <w:rFonts w:asciiTheme="minorHAnsi" w:hAnsiTheme="minorHAnsi" w:cs="Arial"/>
          <w:b w:val="0"/>
          <w:sz w:val="22"/>
          <w:szCs w:val="22"/>
        </w:rPr>
        <w:t xml:space="preserve">os de monitoramento de quantidade da água superficial existentes ou a serem implantados na AID. </w:t>
      </w:r>
    </w:p>
    <w:p w14:paraId="2585AD2A" w14:textId="480E71A9" w:rsidR="00EC2628" w:rsidRPr="00AF24CE" w:rsidRDefault="00EC2628" w:rsidP="00EC2628">
      <w:pPr>
        <w:pStyle w:val="Ttulo1"/>
        <w:spacing w:before="120"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AF24CE">
        <w:rPr>
          <w:rFonts w:asciiTheme="minorHAnsi" w:hAnsiTheme="minorHAnsi" w:cs="Arial"/>
          <w:b w:val="0"/>
          <w:sz w:val="22"/>
          <w:szCs w:val="22"/>
        </w:rPr>
        <w:t>A</w:t>
      </w:r>
      <w:r w:rsidR="007B5562" w:rsidRPr="00AF24CE">
        <w:rPr>
          <w:rFonts w:asciiTheme="minorHAnsi" w:hAnsiTheme="minorHAnsi" w:cs="Arial"/>
          <w:b w:val="0"/>
          <w:sz w:val="22"/>
          <w:szCs w:val="22"/>
        </w:rPr>
        <w:t>presentar as demandas e características específicas dos usos</w:t>
      </w:r>
      <w:r w:rsidR="00EE2637" w:rsidRPr="00AF24CE">
        <w:rPr>
          <w:rFonts w:asciiTheme="minorHAnsi" w:hAnsiTheme="minorHAnsi" w:cs="Arial"/>
          <w:b w:val="0"/>
          <w:sz w:val="22"/>
          <w:szCs w:val="22"/>
        </w:rPr>
        <w:t xml:space="preserve"> da água no empreendimento</w:t>
      </w:r>
      <w:r w:rsidRPr="00AF24CE">
        <w:rPr>
          <w:rFonts w:asciiTheme="minorHAnsi" w:hAnsiTheme="minorHAnsi" w:cs="Arial"/>
          <w:b w:val="0"/>
          <w:sz w:val="22"/>
          <w:szCs w:val="22"/>
        </w:rPr>
        <w:t>.</w:t>
      </w:r>
      <w:r w:rsidR="007B5562" w:rsidRPr="00AF24CE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62C5116A" w14:textId="5419B303" w:rsidR="00EC2628" w:rsidRPr="00AF24CE" w:rsidRDefault="00EC2628" w:rsidP="00EC2628">
      <w:pPr>
        <w:pStyle w:val="Ttulo1"/>
        <w:spacing w:before="120"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AF24CE">
        <w:rPr>
          <w:rFonts w:asciiTheme="minorHAnsi" w:hAnsiTheme="minorHAnsi" w:cs="Arial"/>
          <w:b w:val="0"/>
          <w:sz w:val="22"/>
          <w:szCs w:val="22"/>
        </w:rPr>
        <w:t xml:space="preserve">Localizar e identificar em mapas os pontos de captação dos usuários superficiais localizados na mesmo curso d’água. </w:t>
      </w:r>
    </w:p>
    <w:p w14:paraId="4367479C" w14:textId="5326D077" w:rsidR="007B5562" w:rsidRPr="00AF24CE" w:rsidRDefault="00EC2628" w:rsidP="00EC2628">
      <w:pPr>
        <w:pStyle w:val="Ttulo1"/>
        <w:spacing w:before="120"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AF24CE">
        <w:rPr>
          <w:rFonts w:asciiTheme="minorHAnsi" w:hAnsiTheme="minorHAnsi" w:cs="Arial"/>
          <w:b w:val="0"/>
          <w:sz w:val="22"/>
          <w:szCs w:val="22"/>
        </w:rPr>
        <w:t xml:space="preserve">Caracterizar </w:t>
      </w:r>
      <w:r w:rsidR="007B5562" w:rsidRPr="00AF24CE">
        <w:rPr>
          <w:rFonts w:asciiTheme="minorHAnsi" w:hAnsiTheme="minorHAnsi" w:cs="Arial"/>
          <w:b w:val="0"/>
          <w:sz w:val="22"/>
          <w:szCs w:val="22"/>
        </w:rPr>
        <w:t xml:space="preserve">as interferências nos recursos hídricos a montante e a jusante </w:t>
      </w:r>
      <w:r w:rsidR="00EE2637" w:rsidRPr="00AF24CE">
        <w:rPr>
          <w:rFonts w:asciiTheme="minorHAnsi" w:hAnsiTheme="minorHAnsi" w:cs="Arial"/>
          <w:b w:val="0"/>
          <w:sz w:val="22"/>
          <w:szCs w:val="22"/>
        </w:rPr>
        <w:t xml:space="preserve">do ponto de interferência </w:t>
      </w:r>
      <w:r w:rsidR="007B5562" w:rsidRPr="00AF24CE">
        <w:rPr>
          <w:rFonts w:asciiTheme="minorHAnsi" w:hAnsiTheme="minorHAnsi" w:cs="Arial"/>
          <w:b w:val="0"/>
          <w:sz w:val="22"/>
          <w:szCs w:val="22"/>
        </w:rPr>
        <w:t>e sugere-se apresentar os termos de alocação de água, caso já existente</w:t>
      </w:r>
      <w:r w:rsidRPr="00AF24CE">
        <w:rPr>
          <w:rFonts w:asciiTheme="minorHAnsi" w:hAnsiTheme="minorHAnsi" w:cs="Arial"/>
          <w:b w:val="0"/>
          <w:sz w:val="22"/>
          <w:szCs w:val="22"/>
        </w:rPr>
        <w:t>s,</w:t>
      </w:r>
      <w:r w:rsidR="007B5562" w:rsidRPr="00AF24CE">
        <w:rPr>
          <w:rFonts w:asciiTheme="minorHAnsi" w:hAnsiTheme="minorHAnsi" w:cs="Arial"/>
          <w:b w:val="0"/>
          <w:sz w:val="22"/>
          <w:szCs w:val="22"/>
        </w:rPr>
        <w:t xml:space="preserve"> para ADA.</w:t>
      </w:r>
    </w:p>
    <w:p w14:paraId="1AE4F11E" w14:textId="2AD54E92" w:rsidR="0061322F" w:rsidRPr="00AF24CE" w:rsidRDefault="00664A7F" w:rsidP="0083693B">
      <w:pPr>
        <w:pStyle w:val="Ttulo1"/>
        <w:spacing w:before="120"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AF24CE">
        <w:rPr>
          <w:rFonts w:asciiTheme="minorHAnsi" w:hAnsiTheme="minorHAnsi" w:cs="Arial"/>
          <w:b w:val="0"/>
          <w:sz w:val="22"/>
          <w:szCs w:val="22"/>
        </w:rPr>
        <w:t xml:space="preserve">Apresentar </w:t>
      </w:r>
      <w:r w:rsidR="006C79E6" w:rsidRPr="00AF24CE">
        <w:rPr>
          <w:rFonts w:asciiTheme="minorHAnsi" w:hAnsiTheme="minorHAnsi" w:cs="Arial"/>
          <w:b w:val="0"/>
          <w:sz w:val="22"/>
          <w:szCs w:val="22"/>
        </w:rPr>
        <w:t xml:space="preserve">programa </w:t>
      </w:r>
      <w:r w:rsidRPr="00AF24CE">
        <w:rPr>
          <w:rFonts w:asciiTheme="minorHAnsi" w:hAnsiTheme="minorHAnsi" w:cs="Arial"/>
          <w:b w:val="0"/>
          <w:sz w:val="22"/>
          <w:szCs w:val="22"/>
        </w:rPr>
        <w:t>de monitoramento de uso do recurso hídrico e do curso d’água, quando cabível</w:t>
      </w:r>
      <w:r w:rsidR="00EC2628" w:rsidRPr="00AF24CE">
        <w:rPr>
          <w:rFonts w:asciiTheme="minorHAnsi" w:hAnsiTheme="minorHAnsi" w:cs="Arial"/>
          <w:b w:val="0"/>
          <w:sz w:val="22"/>
          <w:szCs w:val="22"/>
        </w:rPr>
        <w:t>.</w:t>
      </w:r>
      <w:r w:rsidRPr="00AF24CE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sectPr w:rsidR="0061322F" w:rsidRPr="00AF24CE" w:rsidSect="00552D52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D3A2A" w14:textId="77777777" w:rsidR="00A22868" w:rsidRDefault="00A22868" w:rsidP="008842E4">
      <w:r>
        <w:separator/>
      </w:r>
    </w:p>
  </w:endnote>
  <w:endnote w:type="continuationSeparator" w:id="0">
    <w:p w14:paraId="057686C6" w14:textId="77777777" w:rsidR="00A22868" w:rsidRDefault="00A22868" w:rsidP="0088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6E14B" w14:textId="77777777" w:rsidR="00A22868" w:rsidRDefault="00A22868" w:rsidP="008842E4">
      <w:r>
        <w:separator/>
      </w:r>
    </w:p>
  </w:footnote>
  <w:footnote w:type="continuationSeparator" w:id="0">
    <w:p w14:paraId="5EBDDB32" w14:textId="77777777" w:rsidR="00A22868" w:rsidRDefault="00A22868" w:rsidP="00884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-106" w:type="dxa"/>
      <w:tblLayout w:type="fixed"/>
      <w:tblLook w:val="00A0" w:firstRow="1" w:lastRow="0" w:firstColumn="1" w:lastColumn="0" w:noHBand="0" w:noVBand="0"/>
    </w:tblPr>
    <w:tblGrid>
      <w:gridCol w:w="1349"/>
      <w:gridCol w:w="8716"/>
    </w:tblGrid>
    <w:tr w:rsidR="00E517AD" w14:paraId="76CA4305" w14:textId="77777777" w:rsidTr="005568D0">
      <w:trPr>
        <w:trHeight w:val="1066"/>
      </w:trPr>
      <w:tc>
        <w:tcPr>
          <w:tcW w:w="1349" w:type="dxa"/>
          <w:hideMark/>
        </w:tcPr>
        <w:p w14:paraId="5EC646F3" w14:textId="77777777" w:rsidR="00E517AD" w:rsidRDefault="00E517AD" w:rsidP="005568D0">
          <w:pPr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487A0629" wp14:editId="0C4B29BD">
                <wp:extent cx="790575" cy="7429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16" w:type="dxa"/>
          <w:hideMark/>
        </w:tcPr>
        <w:p w14:paraId="779CD39B" w14:textId="77777777" w:rsidR="00E517AD" w:rsidRDefault="00E517AD" w:rsidP="005568D0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bCs/>
              <w:sz w:val="20"/>
              <w:szCs w:val="20"/>
            </w:rPr>
          </w:pPr>
        </w:p>
        <w:p w14:paraId="566EE0C3" w14:textId="77777777" w:rsidR="00E517AD" w:rsidRDefault="00E517AD" w:rsidP="005568D0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GOVERNO DO ESTADO DE MINAS GERAIS</w:t>
          </w:r>
        </w:p>
        <w:p w14:paraId="76B171A0" w14:textId="77777777" w:rsidR="00E517AD" w:rsidRDefault="00E517AD" w:rsidP="005568D0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Secretaria de Estado de Meio Ambiente e Desenvolvimento Sustentável - SEMAD</w:t>
          </w:r>
        </w:p>
        <w:p w14:paraId="106110B2" w14:textId="77777777" w:rsidR="00E517AD" w:rsidRDefault="00E517AD" w:rsidP="005568D0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Instituto Mineiro de Gestão das Águas - IGAM</w:t>
          </w:r>
        </w:p>
      </w:tc>
    </w:tr>
  </w:tbl>
  <w:p w14:paraId="5D3A4022" w14:textId="3C59DED4" w:rsidR="008842E4" w:rsidRDefault="008842E4" w:rsidP="00E517A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47C38"/>
    <w:multiLevelType w:val="hybridMultilevel"/>
    <w:tmpl w:val="9D929C1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E6BD9"/>
    <w:multiLevelType w:val="multilevel"/>
    <w:tmpl w:val="0416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2" w15:restartNumberingAfterBreak="0">
    <w:nsid w:val="5B42486B"/>
    <w:multiLevelType w:val="hybridMultilevel"/>
    <w:tmpl w:val="15DE4C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84089"/>
    <w:multiLevelType w:val="hybridMultilevel"/>
    <w:tmpl w:val="F718E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167B9"/>
    <w:multiLevelType w:val="hybridMultilevel"/>
    <w:tmpl w:val="E376A1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D8"/>
    <w:rsid w:val="000843EF"/>
    <w:rsid w:val="000A0DEC"/>
    <w:rsid w:val="000A2F21"/>
    <w:rsid w:val="0016279B"/>
    <w:rsid w:val="001E7EC7"/>
    <w:rsid w:val="002B5CE6"/>
    <w:rsid w:val="003036E7"/>
    <w:rsid w:val="00305424"/>
    <w:rsid w:val="00372B45"/>
    <w:rsid w:val="004329A7"/>
    <w:rsid w:val="004445AD"/>
    <w:rsid w:val="004B234A"/>
    <w:rsid w:val="00552D52"/>
    <w:rsid w:val="005B1CCE"/>
    <w:rsid w:val="0061322F"/>
    <w:rsid w:val="00614062"/>
    <w:rsid w:val="006331F9"/>
    <w:rsid w:val="00664A7F"/>
    <w:rsid w:val="00675FE7"/>
    <w:rsid w:val="006C79E6"/>
    <w:rsid w:val="00734DEA"/>
    <w:rsid w:val="00735F87"/>
    <w:rsid w:val="00743D24"/>
    <w:rsid w:val="007B5562"/>
    <w:rsid w:val="007C56D1"/>
    <w:rsid w:val="0083693B"/>
    <w:rsid w:val="008842E4"/>
    <w:rsid w:val="008C1A83"/>
    <w:rsid w:val="0090550C"/>
    <w:rsid w:val="00930420"/>
    <w:rsid w:val="0094459C"/>
    <w:rsid w:val="009466E7"/>
    <w:rsid w:val="009752B6"/>
    <w:rsid w:val="00A22868"/>
    <w:rsid w:val="00A31B9B"/>
    <w:rsid w:val="00AD7799"/>
    <w:rsid w:val="00AF24CE"/>
    <w:rsid w:val="00B469D5"/>
    <w:rsid w:val="00B64198"/>
    <w:rsid w:val="00B94B3A"/>
    <w:rsid w:val="00BA46C4"/>
    <w:rsid w:val="00BD23DC"/>
    <w:rsid w:val="00C073B1"/>
    <w:rsid w:val="00C42191"/>
    <w:rsid w:val="00C552E7"/>
    <w:rsid w:val="00CA1CD8"/>
    <w:rsid w:val="00D043C0"/>
    <w:rsid w:val="00D146AC"/>
    <w:rsid w:val="00D648D9"/>
    <w:rsid w:val="00D7680A"/>
    <w:rsid w:val="00E16444"/>
    <w:rsid w:val="00E222CA"/>
    <w:rsid w:val="00E35E38"/>
    <w:rsid w:val="00E43D3F"/>
    <w:rsid w:val="00E517AD"/>
    <w:rsid w:val="00EA325B"/>
    <w:rsid w:val="00EC2628"/>
    <w:rsid w:val="00EE2637"/>
    <w:rsid w:val="00EF3AFC"/>
    <w:rsid w:val="00F51ED6"/>
    <w:rsid w:val="00F7444F"/>
    <w:rsid w:val="00FB7DA0"/>
    <w:rsid w:val="00FD3B9F"/>
    <w:rsid w:val="00FD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58596D"/>
  <w15:docId w15:val="{CC129850-C2DA-4D77-A528-FF68140F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ED6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1ED6"/>
    <w:pPr>
      <w:keepNext/>
      <w:numPr>
        <w:numId w:val="5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F51ED6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F51ED6"/>
    <w:pPr>
      <w:keepNext/>
      <w:numPr>
        <w:ilvl w:val="2"/>
        <w:numId w:val="5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3693B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F51ED6"/>
    <w:pPr>
      <w:keepNext/>
      <w:numPr>
        <w:ilvl w:val="4"/>
        <w:numId w:val="5"/>
      </w:numPr>
      <w:jc w:val="center"/>
      <w:outlineLvl w:val="4"/>
    </w:pPr>
    <w:rPr>
      <w:rFonts w:ascii="Arial" w:hAnsi="Arial"/>
      <w:b/>
      <w:color w:val="0000FF"/>
      <w:spacing w:val="20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3693B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3693B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3693B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3693B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nog">
    <w:name w:val="Monog"/>
    <w:basedOn w:val="Corpodetexto"/>
    <w:link w:val="MonogChar"/>
    <w:qFormat/>
    <w:rsid w:val="00F51ED6"/>
    <w:pPr>
      <w:spacing w:before="160" w:after="160" w:line="360" w:lineRule="auto"/>
      <w:jc w:val="both"/>
    </w:pPr>
    <w:rPr>
      <w:rFonts w:ascii="Arial" w:hAnsi="Arial"/>
      <w:lang w:val="x-none" w:eastAsia="x-none"/>
    </w:rPr>
  </w:style>
  <w:style w:type="character" w:customStyle="1" w:styleId="MonogChar">
    <w:name w:val="Monog Char"/>
    <w:link w:val="Monog"/>
    <w:rsid w:val="00F51ED6"/>
    <w:rPr>
      <w:rFonts w:ascii="Arial" w:hAnsi="Arial"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51ED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51ED6"/>
  </w:style>
  <w:style w:type="character" w:customStyle="1" w:styleId="Ttulo1Char">
    <w:name w:val="Título 1 Char"/>
    <w:link w:val="Ttulo1"/>
    <w:rsid w:val="00F51ED6"/>
    <w:rPr>
      <w:rFonts w:ascii="Cambria" w:hAnsi="Cambria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F51ED6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link w:val="Ttulo3"/>
    <w:rsid w:val="00F51ED6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51ED6"/>
    <w:rPr>
      <w:rFonts w:ascii="Arial" w:hAnsi="Arial"/>
      <w:b/>
      <w:color w:val="0000FF"/>
      <w:spacing w:val="20"/>
      <w:sz w:val="24"/>
      <w:lang w:eastAsia="pt-BR"/>
    </w:rPr>
  </w:style>
  <w:style w:type="paragraph" w:styleId="Legenda">
    <w:name w:val="caption"/>
    <w:aliases w:val="Figura"/>
    <w:basedOn w:val="Normal"/>
    <w:next w:val="Normal"/>
    <w:link w:val="LegendaChar"/>
    <w:qFormat/>
    <w:rsid w:val="00F51ED6"/>
    <w:rPr>
      <w:b/>
      <w:bCs/>
      <w:sz w:val="20"/>
      <w:szCs w:val="20"/>
      <w:lang w:eastAsia="en-US"/>
    </w:rPr>
  </w:style>
  <w:style w:type="character" w:customStyle="1" w:styleId="LegendaChar">
    <w:name w:val="Legenda Char"/>
    <w:aliases w:val="Figura Char"/>
    <w:link w:val="Legenda"/>
    <w:locked/>
    <w:rsid w:val="00F51ED6"/>
    <w:rPr>
      <w:b/>
      <w:bCs/>
    </w:rPr>
  </w:style>
  <w:style w:type="paragraph" w:styleId="Ttulo">
    <w:name w:val="Title"/>
    <w:basedOn w:val="Normal"/>
    <w:next w:val="Normal"/>
    <w:link w:val="TtuloChar"/>
    <w:qFormat/>
    <w:rsid w:val="00F51ED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link w:val="Ttulo"/>
    <w:rsid w:val="00F51ED6"/>
    <w:rPr>
      <w:rFonts w:ascii="Cambria" w:hAnsi="Cambria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qFormat/>
    <w:rsid w:val="00F51ED6"/>
    <w:pPr>
      <w:jc w:val="both"/>
    </w:pPr>
    <w:rPr>
      <w:rFonts w:ascii="Arial" w:hAnsi="Arial"/>
      <w:b/>
      <w:sz w:val="22"/>
      <w:szCs w:val="20"/>
    </w:rPr>
  </w:style>
  <w:style w:type="character" w:customStyle="1" w:styleId="SubttuloChar">
    <w:name w:val="Subtítulo Char"/>
    <w:basedOn w:val="Fontepargpadro"/>
    <w:link w:val="Subttulo"/>
    <w:rsid w:val="00F51ED6"/>
    <w:rPr>
      <w:rFonts w:ascii="Arial" w:hAnsi="Arial"/>
      <w:b/>
      <w:sz w:val="22"/>
      <w:lang w:eastAsia="pt-BR"/>
    </w:rPr>
  </w:style>
  <w:style w:type="character" w:styleId="Forte">
    <w:name w:val="Strong"/>
    <w:uiPriority w:val="22"/>
    <w:qFormat/>
    <w:rsid w:val="00F51ED6"/>
    <w:rPr>
      <w:b/>
      <w:bCs/>
    </w:rPr>
  </w:style>
  <w:style w:type="paragraph" w:styleId="PargrafodaLista">
    <w:name w:val="List Paragraph"/>
    <w:basedOn w:val="Normal"/>
    <w:uiPriority w:val="34"/>
    <w:qFormat/>
    <w:rsid w:val="00F51E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basedOn w:val="Fontepargpadro"/>
    <w:rsid w:val="00B64198"/>
  </w:style>
  <w:style w:type="character" w:customStyle="1" w:styleId="grame">
    <w:name w:val="grame"/>
    <w:basedOn w:val="Fontepargpadro"/>
    <w:rsid w:val="00AD7799"/>
  </w:style>
  <w:style w:type="paragraph" w:styleId="Cabealho">
    <w:name w:val="header"/>
    <w:basedOn w:val="Normal"/>
    <w:link w:val="CabealhoChar"/>
    <w:uiPriority w:val="99"/>
    <w:unhideWhenUsed/>
    <w:rsid w:val="008842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42E4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42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42E4"/>
    <w:rPr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164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644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6444"/>
    <w:rPr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64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6444"/>
    <w:rPr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4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444"/>
    <w:rPr>
      <w:rFonts w:ascii="Segoe UI" w:hAnsi="Segoe UI" w:cs="Segoe UI"/>
      <w:sz w:val="18"/>
      <w:szCs w:val="18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369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83693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83693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83693B"/>
    <w:rPr>
      <w:rFonts w:asciiTheme="majorHAnsi" w:eastAsiaTheme="majorEastAsia" w:hAnsiTheme="majorHAnsi" w:cstheme="majorBidi"/>
      <w:color w:val="404040" w:themeColor="text1" w:themeTint="BF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83693B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A6CF5-BE1D-4D88-8DCE-1EE8089B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761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Katiane Cristina de Brito Almeida</dc:creator>
  <cp:lastModifiedBy>Ivana Carla Coelho</cp:lastModifiedBy>
  <cp:revision>10</cp:revision>
  <dcterms:created xsi:type="dcterms:W3CDTF">2018-03-06T13:22:00Z</dcterms:created>
  <dcterms:modified xsi:type="dcterms:W3CDTF">2018-03-06T17:32:00Z</dcterms:modified>
</cp:coreProperties>
</file>